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BB6EE" w14:textId="2D5B23D5" w:rsidR="00D8322C" w:rsidRDefault="002D3B05" w:rsidP="002D3B05">
      <w:pPr>
        <w:pStyle w:val="Overskrift1"/>
      </w:pPr>
      <w:r>
        <w:t xml:space="preserve">SRP om fusionsenergi. </w:t>
      </w:r>
    </w:p>
    <w:p w14:paraId="22835BF0" w14:textId="77777777" w:rsidR="002D3B05" w:rsidRDefault="002D3B05"/>
    <w:p w14:paraId="32C8223A" w14:textId="27AB8CB2" w:rsidR="002D3B05" w:rsidRDefault="002D3B05">
      <w:r>
        <w:t>Dette er et par eksempler på SRP opgaveformuleringer med fusionsenergi hvor eleven har l</w:t>
      </w:r>
      <w:r w:rsidR="00D016BB">
        <w:t>a</w:t>
      </w:r>
      <w:r>
        <w:t xml:space="preserve">vet forsøg på NORTH på DTU. Begge opgaver er i FY og MA. </w:t>
      </w:r>
    </w:p>
    <w:p w14:paraId="27A506B1" w14:textId="77777777" w:rsidR="002D3B05" w:rsidRDefault="002D3B05"/>
    <w:p w14:paraId="3BA0A64D" w14:textId="5980B73E" w:rsidR="002D3B05" w:rsidRDefault="002D3B05">
      <w:r>
        <w:t xml:space="preserve">Det første eksempel omhandler krydsprodukt og vektorer i 3D i </w:t>
      </w:r>
      <w:r w:rsidR="004651E8">
        <w:t>matematikdelen</w:t>
      </w:r>
      <w:r>
        <w:t xml:space="preserve">, det andet eksempel arbejder med topologi i matematikdelen. </w:t>
      </w:r>
    </w:p>
    <w:p w14:paraId="79459272" w14:textId="77777777" w:rsidR="002D3B05" w:rsidRDefault="002D3B05"/>
    <w:p w14:paraId="6DA28D44" w14:textId="1572ABCA" w:rsidR="002D3B05" w:rsidRDefault="002D3B05">
      <w:pPr>
        <w:rPr>
          <w:b/>
          <w:bCs/>
        </w:rPr>
      </w:pPr>
      <w:r w:rsidRPr="006A7464">
        <w:rPr>
          <w:b/>
          <w:bCs/>
        </w:rPr>
        <w:t>Version 1</w:t>
      </w:r>
    </w:p>
    <w:p w14:paraId="3B0C4BF8" w14:textId="77777777" w:rsidR="006A7464" w:rsidRPr="006A7464" w:rsidRDefault="006A7464">
      <w:pPr>
        <w:rPr>
          <w:b/>
          <w:bCs/>
        </w:rPr>
      </w:pPr>
    </w:p>
    <w:p w14:paraId="57FD0982" w14:textId="5D944DF7" w:rsidR="002D3B05" w:rsidRDefault="006A7464" w:rsidP="006A7464">
      <w:pPr>
        <w:pStyle w:val="Undertitel"/>
        <w:shd w:val="clear" w:color="auto" w:fill="FFC000"/>
      </w:pPr>
      <w:r>
        <w:t>Opgaveformulering</w:t>
      </w:r>
    </w:p>
    <w:p w14:paraId="610D7534" w14:textId="0B3918E0" w:rsidR="002D3B05" w:rsidRDefault="002D3B05">
      <w:r>
        <w:t xml:space="preserve">FAG: FY </w:t>
      </w:r>
      <w:r w:rsidR="006A7464">
        <w:t>-</w:t>
      </w:r>
      <w:r>
        <w:t xml:space="preserve"> MA</w:t>
      </w:r>
    </w:p>
    <w:p w14:paraId="20E9D130" w14:textId="77777777" w:rsidR="002D3B05" w:rsidRDefault="002D3B05"/>
    <w:p w14:paraId="4CA7DE38" w14:textId="12459938" w:rsidR="002D3B05" w:rsidRDefault="002D3B05">
      <w:r w:rsidRPr="002D3B05">
        <w:rPr>
          <w:noProof/>
        </w:rPr>
        <w:drawing>
          <wp:inline distT="0" distB="0" distL="0" distR="0" wp14:anchorId="1313A448" wp14:editId="07243567">
            <wp:extent cx="4849383" cy="3634270"/>
            <wp:effectExtent l="0" t="0" r="2540" b="0"/>
            <wp:docPr id="812442404" name="Billede 1" descr="Et billede, der indeholder tekst, skærmbillede, Font/skrifttype, nummer/tal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442404" name="Billede 1" descr="Et billede, der indeholder tekst, skærmbillede, Font/skrifttype, nummer/tal&#10;&#10;Indhold genereret af kunstig intelligens kan være forker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0578" cy="3650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27F8D" w14:textId="77777777" w:rsidR="006A7464" w:rsidRDefault="006A7464"/>
    <w:p w14:paraId="2676C370" w14:textId="2365CFB3" w:rsidR="006A7464" w:rsidRDefault="006A7464" w:rsidP="006A7464">
      <w:pPr>
        <w:pStyle w:val="Type-2"/>
      </w:pPr>
      <w:r>
        <w:t>Beskrivelse</w:t>
      </w:r>
    </w:p>
    <w:p w14:paraId="261F69B5" w14:textId="08C2855C" w:rsidR="006A7464" w:rsidRDefault="006A7464" w:rsidP="006A7464">
      <w:pPr>
        <w:rPr>
          <w:rFonts w:eastAsiaTheme="minorEastAsia"/>
        </w:rPr>
      </w:pPr>
      <w:r>
        <w:t xml:space="preserve">Denne SRP inkluderede i matematikdelen </w:t>
      </w:r>
      <w:r>
        <w:t xml:space="preserve">definition af krydsproduktet, og bevis for formlen for krydsproduktet. Her defineres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×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rPr>
          <w:rFonts w:eastAsiaTheme="minorEastAsia"/>
        </w:rPr>
        <w:t xml:space="preserve"> for to vektorer i rummet, som fastlagt ved følgende tre betingelser: </w:t>
      </w:r>
    </w:p>
    <w:p w14:paraId="1C46C987" w14:textId="0202AF91" w:rsidR="006A7464" w:rsidRPr="006A7464" w:rsidRDefault="006A7464" w:rsidP="006A7464">
      <w:pPr>
        <w:pStyle w:val="Listeafsnit"/>
        <w:numPr>
          <w:ilvl w:val="0"/>
          <w:numId w:val="6"/>
        </w:num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  <m:r>
              <w:rPr>
                <w:rFonts w:ascii="Cambria Math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</m:oMath>
      <w:r w:rsidR="009111FF">
        <w:rPr>
          <w:rFonts w:eastAsiaTheme="minorEastAsia"/>
        </w:rPr>
        <w:t xml:space="preserve"> er arealet af det (ev.t udartede) parallelogram udspændt af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 w:rsidR="009111FF">
        <w:rPr>
          <w:rFonts w:eastAsiaTheme="minorEastAsia"/>
        </w:rPr>
        <w:t xml:space="preserve"> og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</w:p>
    <w:p w14:paraId="1E654BC9" w14:textId="464E91DF" w:rsidR="006A7464" w:rsidRPr="009111FF" w:rsidRDefault="009111FF" w:rsidP="006A7464">
      <w:pPr>
        <w:pStyle w:val="Listeafsnit"/>
        <w:numPr>
          <w:ilvl w:val="0"/>
          <w:numId w:val="6"/>
        </w:num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  <m:r>
              <w:rPr>
                <w:rFonts w:ascii="Cambria Math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  <m:r>
          <w:rPr>
            <w:rFonts w:ascii="Cambria Math" w:eastAsiaTheme="minorEastAsia" w:hAnsi="Cambria Math"/>
          </w:rPr>
          <m:t xml:space="preserve">⊥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>
        <w:rPr>
          <w:rFonts w:eastAsiaTheme="minorEastAsia"/>
        </w:rPr>
        <w:t xml:space="preserve">   og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  <m:r>
              <w:rPr>
                <w:rFonts w:ascii="Cambria Math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</m:d>
        <m:r>
          <w:rPr>
            <w:rFonts w:ascii="Cambria Math" w:eastAsiaTheme="minorEastAsia" w:hAnsi="Cambria Math"/>
          </w:rPr>
          <m:t xml:space="preserve">⊥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rPr>
          <w:rFonts w:eastAsiaTheme="minorEastAsia"/>
        </w:rPr>
        <w:t xml:space="preserve">   </w:t>
      </w:r>
    </w:p>
    <w:p w14:paraId="3F5D8C83" w14:textId="62A902C8" w:rsidR="009111FF" w:rsidRPr="009111FF" w:rsidRDefault="009111FF" w:rsidP="006A7464">
      <w:pPr>
        <w:pStyle w:val="Listeafsnit"/>
        <w:numPr>
          <w:ilvl w:val="0"/>
          <w:numId w:val="6"/>
        </w:numPr>
      </w:pPr>
      <w:r>
        <w:rPr>
          <w:rFonts w:eastAsiaTheme="minorEastAsia"/>
        </w:rPr>
        <w:t>(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>
        <w:rPr>
          <w:rFonts w:eastAsiaTheme="minorEastAsia"/>
        </w:rPr>
        <w:t xml:space="preserve">  </w:t>
      </w:r>
      <w:r>
        <w:rPr>
          <w:rFonts w:eastAsiaTheme="minorEastAsia"/>
        </w:rPr>
        <w:t xml:space="preserve">,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>
        <w:rPr>
          <w:rFonts w:eastAsiaTheme="minorEastAsia"/>
        </w:rPr>
        <w:t xml:space="preserve">  </w:t>
      </w:r>
      <w:r>
        <w:rPr>
          <w:rFonts w:eastAsiaTheme="minorEastAsia"/>
        </w:rPr>
        <w:t xml:space="preserve">,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×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er højredrejet</w:t>
      </w:r>
    </w:p>
    <w:p w14:paraId="1E270498" w14:textId="523DEC2E" w:rsidR="006A7464" w:rsidRPr="009111FF" w:rsidRDefault="009111FF" w:rsidP="009111FF">
      <w:pPr>
        <w:pStyle w:val="NormalWeb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9111FF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lastRenderedPageBreak/>
        <w:t xml:space="preserve">Det blev </w:t>
      </w:r>
      <w:proofErr w:type="spellStart"/>
      <w:r w:rsidRPr="009111FF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ogsa</w:t>
      </w:r>
      <w:proofErr w:type="spellEnd"/>
      <w:r w:rsidRPr="009111FF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̊ bevist, at krydsprodukter er antikommutative og </w:t>
      </w:r>
      <w:proofErr w:type="spellStart"/>
      <w:r w:rsidRPr="009111FF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bilineære</w:t>
      </w:r>
      <w:proofErr w:type="spellEnd"/>
      <w:r w:rsidRPr="009111FF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. </w:t>
      </w:r>
    </w:p>
    <w:p w14:paraId="5BAEDE35" w14:textId="080FB961" w:rsidR="006A7464" w:rsidRDefault="006A7464" w:rsidP="006A7464">
      <w:r>
        <w:t xml:space="preserve">I fysikken delen </w:t>
      </w:r>
      <w:r w:rsidR="009111FF">
        <w:t xml:space="preserve">præsenteres Lorentskraften og der udledtes hvordan ladede partikler bevæger sig i den simple feltkonfiguration, hvor der er en ydre kraft, som er vinkelret på et homogent magnetfelt og E=0. Bagefter analyserede eleven, ladede partiklers bevægelse i simple </w:t>
      </w:r>
      <w:proofErr w:type="spellStart"/>
      <w:r w:rsidR="009111FF">
        <w:t>toroidiale</w:t>
      </w:r>
      <w:proofErr w:type="spellEnd"/>
      <w:r w:rsidR="009111FF">
        <w:t xml:space="preserve"> felter og diskuterede mulige løsninger på problemet med indesluttet plasma. Eleven inddrog samtidigt forsøget på DTU. </w:t>
      </w:r>
    </w:p>
    <w:p w14:paraId="53491C9C" w14:textId="77777777" w:rsidR="00B4595B" w:rsidRDefault="00B4595B"/>
    <w:p w14:paraId="387CBA93" w14:textId="72E6E2F3" w:rsidR="000D6717" w:rsidRDefault="000D6717" w:rsidP="000D6717">
      <w:r>
        <w:t xml:space="preserve">Elevens resume: </w:t>
      </w:r>
    </w:p>
    <w:p w14:paraId="57E393AD" w14:textId="529D0D51" w:rsidR="000D6717" w:rsidRDefault="000D6717" w:rsidP="000D6717">
      <w:pPr>
        <w:pStyle w:val="NormalWeb"/>
      </w:pPr>
      <w:r>
        <w:rPr>
          <w:rFonts w:ascii="TimesNewRomanPSMT" w:hAnsi="TimesNewRomanPSMT"/>
        </w:rPr>
        <w:t xml:space="preserve">I dette projekt undersøges partiklers bevægelse i forskellige feltkonfigurationer. Dette gøres først ved matematisk at undersøge krydsprodukter. Her blev det bevist, at koordinatsættet for et krydsprodukt er som vist i ligning (1.11). Det blev </w:t>
      </w:r>
      <w:proofErr w:type="spellStart"/>
      <w:r>
        <w:rPr>
          <w:rFonts w:ascii="TimesNewRomanPSMT" w:hAnsi="TimesNewRomanPSMT"/>
        </w:rPr>
        <w:t>ogsa</w:t>
      </w:r>
      <w:proofErr w:type="spellEnd"/>
      <w:r>
        <w:rPr>
          <w:rFonts w:ascii="TimesNewRomanPSMT" w:hAnsi="TimesNewRomanPSMT"/>
        </w:rPr>
        <w:t xml:space="preserve">̊ bevist, at krydsprodukter er antikommutative og </w:t>
      </w:r>
      <w:proofErr w:type="spellStart"/>
      <w:r>
        <w:rPr>
          <w:rFonts w:ascii="TimesNewRomanPSMT" w:hAnsi="TimesNewRomanPSMT"/>
        </w:rPr>
        <w:t>bilineære</w:t>
      </w:r>
      <w:proofErr w:type="spellEnd"/>
      <w:r>
        <w:rPr>
          <w:rFonts w:ascii="TimesNewRomanPSMT" w:hAnsi="TimesNewRomanPSMT"/>
        </w:rPr>
        <w:t xml:space="preserve">. Derefter præsenteres Lorentzkraften, som er ligningen for den kraft, en ladet partikel oplever i et elektromagnetisk felt, som ses ved ligning (2.1). Efter dette bliver partikelbevægelsen i en simpel feltkonfiguration, med en ydre kraft K vinkelret på magnetfeltet B, udledt og forklaret illustrativt. Det ses her, at negativt ladede partikler og positivt ladede partikler bevæger sig i hver deres lodrette retning. Derefter undersøges ladede partiklers bevægelse i et simpelt </w:t>
      </w:r>
      <w:proofErr w:type="spellStart"/>
      <w:r>
        <w:rPr>
          <w:rFonts w:ascii="TimesNewRomanPSMT" w:hAnsi="TimesNewRomanPSMT"/>
        </w:rPr>
        <w:t>toroidalt</w:t>
      </w:r>
      <w:proofErr w:type="spellEnd"/>
      <w:r>
        <w:rPr>
          <w:rFonts w:ascii="TimesNewRomanPSMT" w:hAnsi="TimesNewRomanPSMT"/>
        </w:rPr>
        <w:t xml:space="preserve"> magnetfelt Det vises her, at partikler i disse felter oplever forskellige former for drift, som i sidste ende resulterer i, at plasmaet ikke kan holdes indesluttet i et simpelt </w:t>
      </w:r>
      <w:proofErr w:type="spellStart"/>
      <w:r>
        <w:rPr>
          <w:rFonts w:ascii="TimesNewRomanPSMT" w:hAnsi="TimesNewRomanPSMT"/>
        </w:rPr>
        <w:t>toroidalt</w:t>
      </w:r>
      <w:proofErr w:type="spellEnd"/>
      <w:r>
        <w:rPr>
          <w:rFonts w:ascii="TimesNewRomanPSMT" w:hAnsi="TimesNewRomanPSMT"/>
        </w:rPr>
        <w:t xml:space="preserve"> magnetfelt. Derefter vises løsninger på de problemer, der </w:t>
      </w:r>
      <w:proofErr w:type="spellStart"/>
      <w:r>
        <w:rPr>
          <w:rFonts w:ascii="TimesNewRomanPSMT" w:hAnsi="TimesNewRomanPSMT"/>
        </w:rPr>
        <w:t>opstår</w:t>
      </w:r>
      <w:proofErr w:type="spellEnd"/>
      <w:r>
        <w:rPr>
          <w:rFonts w:ascii="TimesNewRomanPSMT" w:hAnsi="TimesNewRomanPSMT"/>
        </w:rPr>
        <w:t xml:space="preserve"> i et simpelt </w:t>
      </w:r>
      <w:proofErr w:type="spellStart"/>
      <w:r>
        <w:rPr>
          <w:rFonts w:ascii="TimesNewRomanPSMT" w:hAnsi="TimesNewRomanPSMT"/>
        </w:rPr>
        <w:t>toroidalt</w:t>
      </w:r>
      <w:proofErr w:type="spellEnd"/>
      <w:r>
        <w:rPr>
          <w:rFonts w:ascii="TimesNewRomanPSMT" w:hAnsi="TimesNewRomanPSMT"/>
        </w:rPr>
        <w:t xml:space="preserve"> magnetfelt ved at introducere og forklare to forskellige typer fusionsreaktorer. Disse typer af fusionsreaktorer er </w:t>
      </w:r>
      <w:proofErr w:type="spellStart"/>
      <w:r>
        <w:rPr>
          <w:rFonts w:ascii="TimesNewRomanPSMT" w:hAnsi="TimesNewRomanPSMT"/>
        </w:rPr>
        <w:t>tokamakken</w:t>
      </w:r>
      <w:proofErr w:type="spellEnd"/>
      <w:r>
        <w:rPr>
          <w:rFonts w:ascii="TimesNewRomanPSMT" w:hAnsi="TimesNewRomanPSMT"/>
        </w:rPr>
        <w:t xml:space="preserve"> og </w:t>
      </w:r>
      <w:proofErr w:type="spellStart"/>
      <w:r>
        <w:rPr>
          <w:rFonts w:ascii="TimesNewRomanPSMT" w:hAnsi="TimesNewRomanPSMT"/>
        </w:rPr>
        <w:t>stelleratoren</w:t>
      </w:r>
      <w:proofErr w:type="spellEnd"/>
      <w:r>
        <w:rPr>
          <w:rFonts w:ascii="TimesNewRomanPSMT" w:hAnsi="TimesNewRomanPSMT"/>
        </w:rPr>
        <w:t xml:space="preserve">, og det vises her, at feltkonfigurationerne som de forskellige fusionsreaktorer danner, gør at de teoretisk set kan indeslutte plasma. Det vises i forlængelse af dette, at det simple </w:t>
      </w:r>
      <w:proofErr w:type="spellStart"/>
      <w:r>
        <w:rPr>
          <w:rFonts w:ascii="TimesNewRomanPSMT" w:hAnsi="TimesNewRomanPSMT"/>
        </w:rPr>
        <w:t>toroidale</w:t>
      </w:r>
      <w:proofErr w:type="spellEnd"/>
      <w:r>
        <w:rPr>
          <w:rFonts w:ascii="TimesNewRomanPSMT" w:hAnsi="TimesNewRomanPSMT"/>
        </w:rPr>
        <w:t xml:space="preserve"> magnetfelt brugt i DTU’s </w:t>
      </w:r>
      <w:proofErr w:type="spellStart"/>
      <w:r>
        <w:rPr>
          <w:rFonts w:ascii="TimesNewRomanPSMT" w:hAnsi="TimesNewRomanPSMT"/>
        </w:rPr>
        <w:t>tokamak</w:t>
      </w:r>
      <w:proofErr w:type="spellEnd"/>
      <w:r>
        <w:rPr>
          <w:rFonts w:ascii="TimesNewRomanPSMT" w:hAnsi="TimesNewRomanPSMT"/>
        </w:rPr>
        <w:t xml:space="preserve"> North ikke er godt nok til at kunne indeslutte plasma i længere tid ad gangen. </w:t>
      </w:r>
    </w:p>
    <w:p w14:paraId="6133F057" w14:textId="77777777" w:rsidR="006A7464" w:rsidRDefault="006A7464"/>
    <w:p w14:paraId="1891316E" w14:textId="093AAA4E" w:rsidR="00B4595B" w:rsidRDefault="000D6717" w:rsidP="006A7464">
      <w:pPr>
        <w:pStyle w:val="Type-2"/>
      </w:pPr>
      <w:r>
        <w:t>K</w:t>
      </w:r>
      <w:r w:rsidR="00B4595B">
        <w:t>ort Litteraturliste</w:t>
      </w:r>
      <w:r>
        <w:t xml:space="preserve"> </w:t>
      </w:r>
    </w:p>
    <w:p w14:paraId="2CA3A830" w14:textId="77777777" w:rsidR="00B4595B" w:rsidRDefault="00B4595B"/>
    <w:p w14:paraId="211B4CE4" w14:textId="2DDE7041" w:rsidR="00B4595B" w:rsidRDefault="00B4595B">
      <w:r w:rsidRPr="00B4595B">
        <w:rPr>
          <w:noProof/>
        </w:rPr>
        <w:drawing>
          <wp:inline distT="0" distB="0" distL="0" distR="0" wp14:anchorId="49853A31" wp14:editId="48BD8E77">
            <wp:extent cx="4639235" cy="2769196"/>
            <wp:effectExtent l="0" t="0" r="0" b="0"/>
            <wp:docPr id="1200762084" name="Billede 1" descr="Et billede, der indeholder tekst, skærmbillede, Font/skrifttype, algebra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762084" name="Billede 1" descr="Et billede, der indeholder tekst, skærmbillede, Font/skrifttype, algebra&#10;&#10;Indhold genereret af kunstig intelligens kan være forker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117" cy="2784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FB22A" w14:textId="061EBD38" w:rsidR="00B4595B" w:rsidRDefault="00B4595B">
      <w:r w:rsidRPr="00B4595B">
        <w:rPr>
          <w:noProof/>
        </w:rPr>
        <w:lastRenderedPageBreak/>
        <w:drawing>
          <wp:inline distT="0" distB="0" distL="0" distR="0" wp14:anchorId="644DB9C6" wp14:editId="44F6BA87">
            <wp:extent cx="4128247" cy="1523571"/>
            <wp:effectExtent l="0" t="0" r="0" b="635"/>
            <wp:docPr id="735126171" name="Billede 1" descr="Et billede, der indeholder tekst, kvittering, algebra, Font/skrifttype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126171" name="Billede 1" descr="Et billede, der indeholder tekst, kvittering, algebra, Font/skrifttype&#10;&#10;Indhold genereret af kunstig intelligens kan være forker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6945" cy="1541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30384" w14:textId="5C1D2211" w:rsidR="002D3B05" w:rsidRDefault="00B4595B">
      <w:r w:rsidRPr="00B4595B">
        <w:rPr>
          <w:noProof/>
        </w:rPr>
        <w:drawing>
          <wp:inline distT="0" distB="0" distL="0" distR="0" wp14:anchorId="3FF9F911" wp14:editId="570294B4">
            <wp:extent cx="4538382" cy="2822009"/>
            <wp:effectExtent l="0" t="0" r="0" b="0"/>
            <wp:docPr id="1208090053" name="Billede 1" descr="Et billede, der indeholder tekst, skærmbillede, Font/skrifttype, dokument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90053" name="Billede 1" descr="Et billede, der indeholder tekst, skærmbillede, Font/skrifttype, dokument&#10;&#10;Indhold genereret af kunstig intelligens kan være forker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9575" cy="2828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D8CD4" w14:textId="77777777" w:rsidR="000D6717" w:rsidRDefault="000D6717">
      <w:pPr>
        <w:rPr>
          <w:b/>
          <w:bCs/>
        </w:rPr>
      </w:pPr>
    </w:p>
    <w:p w14:paraId="2E9DA786" w14:textId="485EB0B3" w:rsidR="002D3B05" w:rsidRDefault="00B4595B">
      <w:pPr>
        <w:rPr>
          <w:b/>
          <w:bCs/>
        </w:rPr>
      </w:pPr>
      <w:r w:rsidRPr="006A7464">
        <w:rPr>
          <w:b/>
          <w:bCs/>
        </w:rPr>
        <w:t xml:space="preserve">Version 2: </w:t>
      </w:r>
    </w:p>
    <w:p w14:paraId="7C796203" w14:textId="77777777" w:rsidR="006A7464" w:rsidRPr="006A7464" w:rsidRDefault="006A7464">
      <w:pPr>
        <w:rPr>
          <w:b/>
          <w:bCs/>
        </w:rPr>
      </w:pPr>
    </w:p>
    <w:p w14:paraId="74F2CAC9" w14:textId="77777777" w:rsidR="006A7464" w:rsidRDefault="006A7464" w:rsidP="006A7464">
      <w:pPr>
        <w:pStyle w:val="Undertitel"/>
        <w:shd w:val="clear" w:color="auto" w:fill="FFC000"/>
      </w:pPr>
      <w:r>
        <w:t>Opgaveformulering</w:t>
      </w:r>
    </w:p>
    <w:p w14:paraId="0CDEFCDF" w14:textId="05F73366" w:rsidR="000D6717" w:rsidRDefault="000D6717" w:rsidP="006A7464">
      <w:r>
        <w:t>Emne: Fusionsreaktorer</w:t>
      </w:r>
    </w:p>
    <w:p w14:paraId="215A67D3" w14:textId="413E44B7" w:rsidR="006A7464" w:rsidRDefault="006A7464" w:rsidP="006A7464">
      <w:r>
        <w:t>FAG: FY</w:t>
      </w:r>
      <w:r w:rsidR="000D6717">
        <w:t>,</w:t>
      </w:r>
      <w:r>
        <w:t xml:space="preserve"> MA</w:t>
      </w:r>
    </w:p>
    <w:p w14:paraId="57D5F659" w14:textId="69DC3DDD" w:rsidR="00B4595B" w:rsidRDefault="000D6717">
      <w:r w:rsidRPr="000D6717">
        <w:drawing>
          <wp:inline distT="0" distB="0" distL="0" distR="0" wp14:anchorId="3AA5A261" wp14:editId="4B74D506">
            <wp:extent cx="4617596" cy="2803712"/>
            <wp:effectExtent l="0" t="0" r="5715" b="3175"/>
            <wp:docPr id="1281664156" name="Billede 1" descr="Et billede, der indeholder tekst, skærmbillede, Font/skrifttype, dokument&#10;&#10;AI-genereret indhold kan være ukorrek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664156" name="Billede 1" descr="Et billede, der indeholder tekst, skærmbillede, Font/skrifttype, dokument&#10;&#10;AI-genereret indhold kan være ukorrek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0578" cy="2817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6229E" w14:textId="77777777" w:rsidR="00B4595B" w:rsidRDefault="00B4595B"/>
    <w:p w14:paraId="50E55914" w14:textId="6BAF39FA" w:rsidR="006A7464" w:rsidRDefault="00B4595B" w:rsidP="006A7464">
      <w:pPr>
        <w:pStyle w:val="Type-2"/>
      </w:pPr>
      <w:r>
        <w:t>Kort beskrivelse</w:t>
      </w:r>
    </w:p>
    <w:p w14:paraId="793C1C6A" w14:textId="65002C80" w:rsidR="00B4595B" w:rsidRDefault="00B4595B">
      <w:r>
        <w:t xml:space="preserve">Denne SRP </w:t>
      </w:r>
      <w:r w:rsidR="006A7464">
        <w:t>inkluderede</w:t>
      </w:r>
      <w:r>
        <w:t xml:space="preserve"> i matematikdelen bl.a. et induktionsbevis for Euler karakteristikken. </w:t>
      </w:r>
    </w:p>
    <w:p w14:paraId="66EA8BDE" w14:textId="77777777" w:rsidR="00B4595B" w:rsidRDefault="00B4595B"/>
    <w:p w14:paraId="255187EC" w14:textId="2DE1B1F8" w:rsidR="00B4595B" w:rsidRDefault="00B4595B" w:rsidP="00B4595B">
      <w:r>
        <w:t xml:space="preserve">I fysikken delen forklares anvendelsen af en </w:t>
      </w:r>
      <w:proofErr w:type="spellStart"/>
      <w:r>
        <w:t>tokamak</w:t>
      </w:r>
      <w:proofErr w:type="spellEnd"/>
      <w:r>
        <w:t xml:space="preserve"> til at indeslutte plasmaet og at dette er nødvendig for at kunne lave fusionsprocessen. </w:t>
      </w:r>
      <w:proofErr w:type="spellStart"/>
      <w:r>
        <w:rPr>
          <w:rFonts w:ascii="TimesNewRomanPSMT" w:hAnsi="TimesNewRomanPSMT"/>
        </w:rPr>
        <w:t>Tokamak</w:t>
      </w:r>
      <w:proofErr w:type="spellEnd"/>
      <w:r>
        <w:rPr>
          <w:rFonts w:ascii="TimesNewRomanPSMT" w:hAnsi="TimesNewRomanPSMT"/>
        </w:rPr>
        <w:t xml:space="preserve"> skaber et torus-formet magnetfelt der sikrer den nødvendige fastholdelse af plasmaets placering.</w:t>
      </w:r>
      <w:r>
        <w:rPr>
          <w:rFonts w:ascii="TimesNewRomanPSMT" w:hAnsi="TimesNewRomanPSMT"/>
          <w:position w:val="8"/>
          <w:sz w:val="16"/>
          <w:szCs w:val="16"/>
        </w:rPr>
        <w:t xml:space="preserve"> </w:t>
      </w:r>
      <w:r>
        <w:rPr>
          <w:rFonts w:ascii="TimesNewRomanPSMT" w:hAnsi="TimesNewRomanPSMT"/>
        </w:rPr>
        <w:t xml:space="preserve">Man kan ved at modulere og betragte partikelbevægelserne i forskellige konfigurationer af magnetfelter, argumentere for at </w:t>
      </w:r>
      <w:proofErr w:type="spellStart"/>
      <w:r>
        <w:rPr>
          <w:rFonts w:ascii="TimesNewRomanPSMT" w:hAnsi="TimesNewRomanPSMT"/>
        </w:rPr>
        <w:t>tokamakken</w:t>
      </w:r>
      <w:proofErr w:type="spellEnd"/>
      <w:r>
        <w:rPr>
          <w:rFonts w:ascii="TimesNewRomanPSMT" w:hAnsi="TimesNewRomanPSMT"/>
        </w:rPr>
        <w:t xml:space="preserve"> giver den bedste indeslutning af plasmaet.</w:t>
      </w:r>
      <w:r>
        <w:rPr>
          <w:rFonts w:ascii="TimesNewRomanPSMT" w:hAnsi="TimesNewRomanPSMT"/>
          <w:position w:val="8"/>
          <w:sz w:val="16"/>
          <w:szCs w:val="16"/>
        </w:rPr>
        <w:t xml:space="preserve"> </w:t>
      </w:r>
      <w:r>
        <w:rPr>
          <w:rFonts w:ascii="TimesNewRomanPSMT" w:hAnsi="TimesNewRomanPSMT"/>
        </w:rPr>
        <w:t xml:space="preserve">I opgaven redegøres for de fysiske krav, der gælder for en fusionsreaktion, og hvilke betingelser det stiller til en fusionsreaktor. Derudover </w:t>
      </w:r>
      <w:proofErr w:type="spellStart"/>
      <w:r>
        <w:rPr>
          <w:rFonts w:ascii="TimesNewRomanPSMT" w:hAnsi="TimesNewRomanPSMT"/>
        </w:rPr>
        <w:t>gennemgås</w:t>
      </w:r>
      <w:proofErr w:type="spellEnd"/>
      <w:r>
        <w:rPr>
          <w:rFonts w:ascii="TimesNewRomanPSMT" w:hAnsi="TimesNewRomanPSMT"/>
        </w:rPr>
        <w:t xml:space="preserve"> essentielle matematiske størrelser for at vise de unikke topologiske egenskaber for en 2-torus, som gør den anvendelig i en fusionsreaktor. Dette leder hen til opbygningen af </w:t>
      </w:r>
      <w:proofErr w:type="spellStart"/>
      <w:r>
        <w:rPr>
          <w:rFonts w:ascii="TimesNewRomanPSMT" w:hAnsi="TimesNewRomanPSMT"/>
        </w:rPr>
        <w:t>tokamakken</w:t>
      </w:r>
      <w:proofErr w:type="spellEnd"/>
      <w:r>
        <w:rPr>
          <w:rFonts w:ascii="TimesNewRomanPSMT" w:hAnsi="TimesNewRomanPSMT"/>
        </w:rPr>
        <w:t xml:space="preserve"> og andre fusionsreaktorer. Til sidst beskrives forsøg på DTU med et simpelt </w:t>
      </w:r>
      <w:proofErr w:type="spellStart"/>
      <w:r>
        <w:rPr>
          <w:rFonts w:ascii="TimesNewRomanPSMT" w:hAnsi="TimesNewRomanPSMT"/>
        </w:rPr>
        <w:t>toroidalt</w:t>
      </w:r>
      <w:proofErr w:type="spellEnd"/>
      <w:r>
        <w:rPr>
          <w:rFonts w:ascii="TimesNewRomanPSMT" w:hAnsi="TimesNewRomanPSMT"/>
        </w:rPr>
        <w:t xml:space="preserve"> magnetfelt. </w:t>
      </w:r>
    </w:p>
    <w:p w14:paraId="282845E7" w14:textId="77777777" w:rsidR="00B4595B" w:rsidRDefault="00B4595B"/>
    <w:p w14:paraId="383E9D24" w14:textId="5AF3F3D6" w:rsidR="0000047A" w:rsidRDefault="000D6717">
      <w:r>
        <w:t xml:space="preserve">Elevens resume: </w:t>
      </w:r>
    </w:p>
    <w:p w14:paraId="7F34780F" w14:textId="77777777" w:rsidR="000D6717" w:rsidRDefault="000D6717" w:rsidP="000D6717">
      <w:pPr>
        <w:pStyle w:val="NormalWeb"/>
      </w:pPr>
      <w:r>
        <w:rPr>
          <w:rFonts w:ascii="TimesNewRomanPSMT" w:hAnsi="TimesNewRomanPSMT"/>
        </w:rPr>
        <w:t xml:space="preserve">Den kontrollerede fusionsproces, er en kompleks størrelse. Centralt for processen er at et plasma, </w:t>
      </w:r>
      <w:proofErr w:type="spellStart"/>
      <w:r>
        <w:rPr>
          <w:rFonts w:ascii="TimesNewRomanPSMT" w:hAnsi="TimesNewRomanPSMT"/>
        </w:rPr>
        <w:t>bestående</w:t>
      </w:r>
      <w:proofErr w:type="spellEnd"/>
      <w:r>
        <w:rPr>
          <w:rFonts w:ascii="TimesNewRomanPSMT" w:hAnsi="TimesNewRomanPSMT"/>
        </w:rPr>
        <w:t xml:space="preserve"> af frie elektroner og kerner fra hydrogen isotoper, indesluttes i en kompliceret konfiguration af magnetfelter, som tilsammen effektivt indeslutter plasmaet.</w:t>
      </w:r>
      <w:r>
        <w:rPr>
          <w:rFonts w:ascii="TimesNewRomanPSMT" w:hAnsi="TimesNewRomanPSMT"/>
          <w:position w:val="8"/>
          <w:sz w:val="16"/>
          <w:szCs w:val="16"/>
        </w:rPr>
        <w:t xml:space="preserve">1 </w:t>
      </w:r>
      <w:r>
        <w:rPr>
          <w:rFonts w:ascii="TimesNewRomanPSMT" w:hAnsi="TimesNewRomanPSMT"/>
        </w:rPr>
        <w:t xml:space="preserve">Dette er nødvendigt for at fusionsprocessen kan kontrolleres. Den mest fremherskende metode til at indeslutte plasma er ved hjælp af en </w:t>
      </w:r>
      <w:proofErr w:type="spellStart"/>
      <w:r>
        <w:rPr>
          <w:rFonts w:ascii="TimesNewRomanPSMT" w:hAnsi="TimesNewRomanPSMT"/>
        </w:rPr>
        <w:t>tokamak</w:t>
      </w:r>
      <w:proofErr w:type="spellEnd"/>
      <w:r>
        <w:rPr>
          <w:rFonts w:ascii="TimesNewRomanPSMT" w:hAnsi="TimesNewRomanPSMT"/>
        </w:rPr>
        <w:t>, med hvilken der skabes et torus-formet magnetfelt der sikrer den nødvendige fastholdelse af plasmaets placering.</w:t>
      </w:r>
      <w:r>
        <w:rPr>
          <w:rFonts w:ascii="TimesNewRomanPSMT" w:hAnsi="TimesNewRomanPSMT"/>
          <w:position w:val="8"/>
          <w:sz w:val="16"/>
          <w:szCs w:val="16"/>
        </w:rPr>
        <w:t xml:space="preserve">2 </w:t>
      </w:r>
      <w:r>
        <w:rPr>
          <w:rFonts w:ascii="TimesNewRomanPSMT" w:hAnsi="TimesNewRomanPSMT"/>
        </w:rPr>
        <w:t xml:space="preserve">Man kan ved at modulere og betragte partikelbevægelserne i forskellige konfigurationer af magnetfelter, argumentere for at </w:t>
      </w:r>
      <w:proofErr w:type="spellStart"/>
      <w:r>
        <w:rPr>
          <w:rFonts w:ascii="TimesNewRomanPSMT" w:hAnsi="TimesNewRomanPSMT"/>
        </w:rPr>
        <w:t>tokamakken</w:t>
      </w:r>
      <w:proofErr w:type="spellEnd"/>
      <w:r>
        <w:rPr>
          <w:rFonts w:ascii="TimesNewRomanPSMT" w:hAnsi="TimesNewRomanPSMT"/>
        </w:rPr>
        <w:t xml:space="preserve"> giver den bedste indeslutning af plasmaet.</w:t>
      </w:r>
      <w:r>
        <w:rPr>
          <w:rFonts w:ascii="TimesNewRomanPSMT" w:hAnsi="TimesNewRomanPSMT"/>
          <w:position w:val="8"/>
          <w:sz w:val="16"/>
          <w:szCs w:val="16"/>
        </w:rPr>
        <w:t xml:space="preserve">3 </w:t>
      </w:r>
      <w:r>
        <w:rPr>
          <w:rFonts w:ascii="TimesNewRomanPSMT" w:hAnsi="TimesNewRomanPSMT"/>
        </w:rPr>
        <w:t xml:space="preserve">I opgaven redegøres for de fysiske krav, der gælder for en fusionsreaktion, og hvilke betingelser det stiller til en fusionsreaktor. Derudover </w:t>
      </w:r>
      <w:proofErr w:type="spellStart"/>
      <w:r>
        <w:rPr>
          <w:rFonts w:ascii="TimesNewRomanPSMT" w:hAnsi="TimesNewRomanPSMT"/>
        </w:rPr>
        <w:t>gennemgås</w:t>
      </w:r>
      <w:proofErr w:type="spellEnd"/>
      <w:r>
        <w:rPr>
          <w:rFonts w:ascii="TimesNewRomanPSMT" w:hAnsi="TimesNewRomanPSMT"/>
        </w:rPr>
        <w:t xml:space="preserve"> essentielle matematiske størrelser for at vise de unikke topologiske egenskaber for en 2-torus, som gør den anvendelig i en fusionsreaktor. Dette leder hen til opbygningen af </w:t>
      </w:r>
      <w:proofErr w:type="spellStart"/>
      <w:r>
        <w:rPr>
          <w:rFonts w:ascii="TimesNewRomanPSMT" w:hAnsi="TimesNewRomanPSMT"/>
        </w:rPr>
        <w:t>tokamakken</w:t>
      </w:r>
      <w:proofErr w:type="spellEnd"/>
      <w:r>
        <w:rPr>
          <w:rFonts w:ascii="TimesNewRomanPSMT" w:hAnsi="TimesNewRomanPSMT"/>
        </w:rPr>
        <w:t xml:space="preserve"> og andre fusionsreaktorer, som i modsætning til det simple </w:t>
      </w:r>
      <w:proofErr w:type="spellStart"/>
      <w:r>
        <w:rPr>
          <w:rFonts w:ascii="TimesNewRomanPSMT" w:hAnsi="TimesNewRomanPSMT"/>
        </w:rPr>
        <w:t>toroidale</w:t>
      </w:r>
      <w:proofErr w:type="spellEnd"/>
      <w:r>
        <w:rPr>
          <w:rFonts w:ascii="TimesNewRomanPSMT" w:hAnsi="TimesNewRomanPSMT"/>
        </w:rPr>
        <w:t xml:space="preserve"> magnetfelt, danner et effektivt plasmaindesluttende magnetfelt. Til sidst beskrives et forsøg på DTU med et simpelt </w:t>
      </w:r>
      <w:proofErr w:type="spellStart"/>
      <w:r>
        <w:rPr>
          <w:rFonts w:ascii="TimesNewRomanPSMT" w:hAnsi="TimesNewRomanPSMT"/>
        </w:rPr>
        <w:t>toroidalt</w:t>
      </w:r>
      <w:proofErr w:type="spellEnd"/>
      <w:r>
        <w:rPr>
          <w:rFonts w:ascii="TimesNewRomanPSMT" w:hAnsi="TimesNewRomanPSMT"/>
        </w:rPr>
        <w:t xml:space="preserve"> magnetfelt, som demonstrerer at denne type magnetfelt ikke effektivt indeslutter plasma, hvorfor det ikke kan benyttes til energiproduktion i fusionsreaktorer. </w:t>
      </w:r>
    </w:p>
    <w:p w14:paraId="291476B4" w14:textId="77777777" w:rsidR="0000047A" w:rsidRDefault="0000047A"/>
    <w:p w14:paraId="1FEA1EEF" w14:textId="3C001445" w:rsidR="0000047A" w:rsidRDefault="00B4595B" w:rsidP="000D6717">
      <w:pPr>
        <w:pStyle w:val="Type-2"/>
      </w:pPr>
      <w:r>
        <w:t>Kort litteraturliste</w:t>
      </w:r>
    </w:p>
    <w:p w14:paraId="62B47E40" w14:textId="77777777" w:rsidR="0000047A" w:rsidRPr="0000047A" w:rsidRDefault="0000047A" w:rsidP="0000047A">
      <w:pPr>
        <w:pStyle w:val="NormalWeb"/>
        <w:numPr>
          <w:ilvl w:val="0"/>
          <w:numId w:val="1"/>
        </w:numPr>
        <w:rPr>
          <w:rFonts w:ascii="TimesNewRomanPSMT" w:hAnsi="TimesNewRomanPSMT"/>
          <w:lang w:val="en-US"/>
        </w:rPr>
      </w:pPr>
      <w:r w:rsidRPr="0000047A">
        <w:rPr>
          <w:rFonts w:ascii="TimesNewRomanPSMT" w:hAnsi="TimesNewRomanPSMT"/>
          <w:lang w:val="en-US"/>
        </w:rPr>
        <w:t xml:space="preserve">Abate, D, et al., “Plasma shape effect on the n = 0 stability of RFX-mod-shaped tokamak plasmas” (2019). </w:t>
      </w:r>
      <w:proofErr w:type="spellStart"/>
      <w:r w:rsidRPr="0000047A">
        <w:rPr>
          <w:rFonts w:ascii="TimesNewRomanPSMT" w:hAnsi="TimesNewRomanPSMT"/>
          <w:lang w:val="en-US"/>
        </w:rPr>
        <w:t>Tilgængelig</w:t>
      </w:r>
      <w:proofErr w:type="spellEnd"/>
      <w:r w:rsidRPr="0000047A">
        <w:rPr>
          <w:rFonts w:ascii="TimesNewRomanPSMT" w:hAnsi="TimesNewRomanPSMT"/>
          <w:lang w:val="en-US"/>
        </w:rPr>
        <w:t xml:space="preserve"> </w:t>
      </w:r>
      <w:proofErr w:type="spellStart"/>
      <w:r w:rsidRPr="0000047A">
        <w:rPr>
          <w:rFonts w:ascii="TimesNewRomanPSMT" w:hAnsi="TimesNewRomanPSMT"/>
          <w:lang w:val="en-US"/>
        </w:rPr>
        <w:t>ved</w:t>
      </w:r>
      <w:proofErr w:type="spellEnd"/>
      <w:r w:rsidRPr="0000047A">
        <w:rPr>
          <w:rFonts w:ascii="TimesNewRomanPSMT" w:hAnsi="TimesNewRomanPSMT"/>
          <w:lang w:val="en-US"/>
        </w:rPr>
        <w:t xml:space="preserve">: https://iopscience.iop.org/article/10.1088/1741-4326/ab0fd1 </w:t>
      </w:r>
    </w:p>
    <w:p w14:paraId="415C3969" w14:textId="6B783AFC" w:rsidR="0000047A" w:rsidRDefault="0000047A" w:rsidP="0000047A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AFTER ITER, Tilgængelig ved: </w:t>
      </w:r>
      <w:hyperlink r:id="rId10" w:history="1">
        <w:r w:rsidRPr="0000047A">
          <w:rPr>
            <w:rStyle w:val="Hyperlink"/>
            <w:rFonts w:ascii="TimesNewRomanPSMT" w:hAnsi="TimesNewRomanPSMT"/>
          </w:rPr>
          <w:t>https://www.iter.org/sci/iterandbeyond</w:t>
        </w:r>
      </w:hyperlink>
      <w:r>
        <w:rPr>
          <w:rFonts w:ascii="TimesNewRomanPSMT" w:hAnsi="TimesNewRomanPSMT"/>
        </w:rPr>
        <w:t xml:space="preserve"> </w:t>
      </w:r>
    </w:p>
    <w:p w14:paraId="2E785445" w14:textId="77777777" w:rsidR="000D6717" w:rsidRPr="000D6717" w:rsidRDefault="0000047A" w:rsidP="000D6717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 w:rsidRPr="0000047A">
        <w:rPr>
          <w:rFonts w:ascii="TimesNewRomanPSMT" w:hAnsi="TimesNewRomanPSMT"/>
          <w:lang w:val="en-US"/>
        </w:rPr>
        <w:t>Atiyah, M. F., “</w:t>
      </w:r>
      <w:proofErr w:type="spellStart"/>
      <w:r w:rsidRPr="0000047A">
        <w:rPr>
          <w:rFonts w:ascii="TimesNewRomanPSMT" w:hAnsi="TimesNewRomanPSMT"/>
          <w:lang w:val="en-US"/>
        </w:rPr>
        <w:t>Vectorfield</w:t>
      </w:r>
      <w:proofErr w:type="spellEnd"/>
      <w:r w:rsidRPr="0000047A">
        <w:rPr>
          <w:rFonts w:ascii="TimesNewRomanPSMT" w:hAnsi="TimesNewRomanPSMT"/>
          <w:lang w:val="en-US"/>
        </w:rPr>
        <w:t xml:space="preserve"> with finite singularities.”. </w:t>
      </w:r>
      <w:r>
        <w:rPr>
          <w:rFonts w:ascii="TimesNewRomanPSMT" w:hAnsi="TimesNewRomanPSMT"/>
        </w:rPr>
        <w:t xml:space="preserve">Tilgængelig ved: </w:t>
      </w:r>
      <w:r w:rsidR="000D6717">
        <w:rPr>
          <w:rFonts w:ascii="TimesNewRomanPSMT" w:hAnsi="TimesNewRomanPSMT"/>
        </w:rPr>
        <w:fldChar w:fldCharType="begin"/>
      </w:r>
      <w:r w:rsidR="000D6717">
        <w:rPr>
          <w:rFonts w:ascii="TimesNewRomanPSMT" w:hAnsi="TimesNewRomanPSMT"/>
        </w:rPr>
        <w:instrText>HYPERLINK "</w:instrText>
      </w:r>
      <w:r w:rsidR="000D6717" w:rsidRPr="000D6717">
        <w:rPr>
          <w:rFonts w:ascii="TimesNewRomanPSMT" w:hAnsi="TimesNewRomanPSMT"/>
        </w:rPr>
        <w:instrText xml:space="preserve">http://archive.ymsc.tsinghua.edu.cn/pacm_download/117/6123- </w:instrText>
      </w:r>
    </w:p>
    <w:p w14:paraId="5945A458" w14:textId="77777777" w:rsidR="000D6717" w:rsidRPr="00404753" w:rsidRDefault="000D6717" w:rsidP="000D6717">
      <w:pPr>
        <w:pStyle w:val="NormalWeb"/>
        <w:numPr>
          <w:ilvl w:val="0"/>
          <w:numId w:val="1"/>
        </w:numPr>
        <w:rPr>
          <w:rStyle w:val="Hyperlink"/>
          <w:rFonts w:ascii="TimesNewRomanPSMT" w:hAnsi="TimesNewRomanPSMT"/>
        </w:rPr>
      </w:pPr>
      <w:r w:rsidRPr="000D6717">
        <w:rPr>
          <w:rFonts w:ascii="TimesNewRomanPSMT" w:hAnsi="TimesNewRomanPSMT"/>
        </w:rPr>
        <w:instrText>11511_2006_Article_BF02392157.pdf</w:instrText>
      </w:r>
      <w:r>
        <w:rPr>
          <w:rFonts w:ascii="TimesNewRomanPSMT" w:hAnsi="TimesNewRomanPSMT"/>
        </w:rPr>
        <w:instrText>"</w:instrText>
      </w:r>
      <w:r>
        <w:rPr>
          <w:rFonts w:ascii="TimesNewRomanPSMT" w:hAnsi="TimesNewRomanPSMT"/>
        </w:rPr>
        <w:fldChar w:fldCharType="separate"/>
      </w:r>
      <w:r w:rsidRPr="00404753">
        <w:rPr>
          <w:rStyle w:val="Hyperlink"/>
          <w:rFonts w:ascii="TimesNewRomanPSMT" w:hAnsi="TimesNewRomanPSMT"/>
        </w:rPr>
        <w:t xml:space="preserve">http://archive.ymsc.tsinghua.edu.cn/pacm_download/117/6123- </w:t>
      </w:r>
    </w:p>
    <w:p w14:paraId="0A36FD57" w14:textId="5FBEB688" w:rsidR="0000047A" w:rsidRDefault="000D6717" w:rsidP="0000047A">
      <w:pPr>
        <w:pStyle w:val="NormalWeb"/>
        <w:ind w:left="720"/>
        <w:rPr>
          <w:rFonts w:ascii="TimesNewRomanPSMT" w:hAnsi="TimesNewRomanPSMT"/>
        </w:rPr>
      </w:pPr>
      <w:r w:rsidRPr="00404753">
        <w:rPr>
          <w:rStyle w:val="Hyperlink"/>
          <w:rFonts w:ascii="TimesNewRomanPSMT" w:hAnsi="TimesNewRomanPSMT"/>
        </w:rPr>
        <w:t>11511_2006_Article_BF02392157.pdf</w:t>
      </w:r>
      <w:r>
        <w:rPr>
          <w:rFonts w:ascii="TimesNewRomanPSMT" w:hAnsi="TimesNewRomanPSMT"/>
        </w:rPr>
        <w:fldChar w:fldCharType="end"/>
      </w:r>
      <w:r w:rsidR="0000047A">
        <w:rPr>
          <w:rFonts w:ascii="TimesNewRomanPSMT" w:hAnsi="TimesNewRomanPSMT"/>
        </w:rPr>
        <w:t xml:space="preserve"> </w:t>
      </w:r>
    </w:p>
    <w:p w14:paraId="7D6CAA9F" w14:textId="620AE3FA" w:rsidR="0000047A" w:rsidRPr="000D6717" w:rsidRDefault="0000047A" w:rsidP="000D6717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proofErr w:type="spellStart"/>
      <w:r>
        <w:rPr>
          <w:rFonts w:ascii="TimesNewRomanPSMT" w:hAnsi="TimesNewRomanPSMT"/>
        </w:rPr>
        <w:t>Bourke</w:t>
      </w:r>
      <w:proofErr w:type="spellEnd"/>
      <w:r>
        <w:rPr>
          <w:rFonts w:ascii="TimesNewRomanPSMT" w:hAnsi="TimesNewRomanPSMT"/>
        </w:rPr>
        <w:t>, Paul, “</w:t>
      </w:r>
      <w:proofErr w:type="spellStart"/>
      <w:r>
        <w:rPr>
          <w:rFonts w:ascii="TimesNewRomanPSMT" w:hAnsi="TimesNewRomanPSMT"/>
        </w:rPr>
        <w:t>Circles</w:t>
      </w:r>
      <w:proofErr w:type="spellEnd"/>
      <w:r>
        <w:rPr>
          <w:rFonts w:ascii="TimesNewRomanPSMT" w:hAnsi="TimesNewRomanPSMT"/>
        </w:rPr>
        <w:t xml:space="preserve"> and Spheres” 1992, tilgængelig ved: </w:t>
      </w:r>
      <w:hyperlink r:id="rId11" w:history="1">
        <w:r w:rsidR="000D6717" w:rsidRPr="00404753">
          <w:rPr>
            <w:rStyle w:val="Hyperlink"/>
            <w:rFonts w:ascii="TimesNewRomanPSMT" w:hAnsi="TimesNewRomanPSMT"/>
          </w:rPr>
          <w:t>http://paulbourke.net/geometry/circlesphere/</w:t>
        </w:r>
      </w:hyperlink>
      <w:r w:rsidRPr="000D6717">
        <w:rPr>
          <w:rFonts w:ascii="TimesNewRomanPSMT" w:hAnsi="TimesNewRomanPSMT"/>
        </w:rPr>
        <w:t xml:space="preserve"> </w:t>
      </w:r>
    </w:p>
    <w:p w14:paraId="37E9C5E7" w14:textId="77777777" w:rsidR="000D6717" w:rsidRDefault="0000047A" w:rsidP="000D6717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Brief </w:t>
      </w:r>
      <w:proofErr w:type="spellStart"/>
      <w:r>
        <w:rPr>
          <w:rFonts w:ascii="TimesNewRomanPSMT" w:hAnsi="TimesNewRomanPSMT"/>
        </w:rPr>
        <w:t>History</w:t>
      </w:r>
      <w:proofErr w:type="spellEnd"/>
      <w:r>
        <w:rPr>
          <w:rFonts w:ascii="TimesNewRomanPSMT" w:hAnsi="TimesNewRomanPSMT"/>
        </w:rPr>
        <w:t xml:space="preserve"> Of Fusion: Tilgængelig ved: </w:t>
      </w:r>
    </w:p>
    <w:p w14:paraId="78E8D433" w14:textId="7086EB4F" w:rsidR="0000047A" w:rsidRPr="000D6717" w:rsidRDefault="000D6717" w:rsidP="000D6717">
      <w:pPr>
        <w:pStyle w:val="NormalWeb"/>
        <w:ind w:left="720"/>
        <w:rPr>
          <w:rFonts w:ascii="TimesNewRomanPSMT" w:hAnsi="TimesNewRomanPSMT"/>
        </w:rPr>
      </w:pPr>
      <w:hyperlink r:id="rId12" w:history="1">
        <w:r w:rsidRPr="00404753">
          <w:rPr>
            <w:rStyle w:val="Hyperlink"/>
            <w:rFonts w:ascii="TimesNewRomanPSMT" w:hAnsi="TimesNewRomanPSMT"/>
          </w:rPr>
          <w:t>https://lppfusion.com/technology/brief-history-of-fusion-power/</w:t>
        </w:r>
      </w:hyperlink>
    </w:p>
    <w:p w14:paraId="1721AEF4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Broer, H.W, et al, Index </w:t>
      </w:r>
      <w:proofErr w:type="spellStart"/>
      <w:r>
        <w:rPr>
          <w:rFonts w:ascii="TimesNewRomanPSMT" w:hAnsi="TimesNewRomanPSMT"/>
        </w:rPr>
        <w:t>Theory</w:t>
      </w:r>
      <w:proofErr w:type="spellEnd"/>
      <w:r>
        <w:rPr>
          <w:rFonts w:ascii="TimesNewRomanPSMT" w:hAnsi="TimesNewRomanPSMT"/>
        </w:rPr>
        <w:t xml:space="preserve">, 2012, s. 5, s. 11. Tilgængelig ved: </w:t>
      </w:r>
    </w:p>
    <w:p w14:paraId="773CCBE8" w14:textId="555CF1F3" w:rsidR="0000047A" w:rsidRDefault="0000047A" w:rsidP="0000047A">
      <w:pPr>
        <w:pStyle w:val="NormalWeb"/>
        <w:ind w:left="720"/>
        <w:rPr>
          <w:rFonts w:ascii="TimesNewRomanPSMT" w:hAnsi="TimesNewRomanPSMT"/>
        </w:rPr>
      </w:pPr>
      <w:hyperlink r:id="rId13" w:history="1">
        <w:r w:rsidRPr="001B03C5">
          <w:rPr>
            <w:rStyle w:val="Hyperlink"/>
            <w:rFonts w:ascii="TimesNewRomanPSMT" w:hAnsi="TimesNewRomanPSMT"/>
          </w:rPr>
          <w:t>https://fse.studenttheses.ub.rug.nl/10368/3/A9R96E6.pdf</w:t>
        </w:r>
      </w:hyperlink>
    </w:p>
    <w:p w14:paraId="3C1456F0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Euler Karakteristik: </w:t>
      </w:r>
      <w:proofErr w:type="spellStart"/>
      <w:r>
        <w:rPr>
          <w:rFonts w:ascii="TimesNewRomanPSMT" w:hAnsi="TimesNewRomanPSMT"/>
        </w:rPr>
        <w:t>Available</w:t>
      </w:r>
      <w:proofErr w:type="spellEnd"/>
      <w:r>
        <w:rPr>
          <w:rFonts w:ascii="TimesNewRomanPSMT" w:hAnsi="TimesNewRomanPSMT"/>
        </w:rPr>
        <w:t xml:space="preserve"> from: </w:t>
      </w:r>
    </w:p>
    <w:p w14:paraId="382F3BBA" w14:textId="6D61E805" w:rsidR="0000047A" w:rsidRDefault="0000047A" w:rsidP="000D6717">
      <w:pPr>
        <w:pStyle w:val="NormalWeb"/>
        <w:ind w:left="720"/>
        <w:rPr>
          <w:rFonts w:ascii="TimesNewRomanPSMT" w:hAnsi="TimesNewRomanPSMT"/>
        </w:rPr>
      </w:pPr>
      <w:hyperlink r:id="rId14" w:history="1">
        <w:r w:rsidRPr="001B03C5">
          <w:rPr>
            <w:rStyle w:val="Hyperlink"/>
            <w:rFonts w:ascii="TimesNewRomanPSMT" w:hAnsi="TimesNewRomanPSMT"/>
          </w:rPr>
          <w:t>https://hmn.wiki/da/Euler_characteristic</w:t>
        </w:r>
      </w:hyperlink>
    </w:p>
    <w:p w14:paraId="07132258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proofErr w:type="spellStart"/>
      <w:r>
        <w:rPr>
          <w:rFonts w:ascii="TimesNewRomanPSMT" w:hAnsi="TimesNewRomanPSMT"/>
        </w:rPr>
        <w:t>Hairy</w:t>
      </w:r>
      <w:proofErr w:type="spellEnd"/>
      <w:r>
        <w:rPr>
          <w:rFonts w:ascii="TimesNewRomanPSMT" w:hAnsi="TimesNewRomanPSMT"/>
        </w:rPr>
        <w:t xml:space="preserve"> Ball </w:t>
      </w:r>
      <w:proofErr w:type="spellStart"/>
      <w:r>
        <w:rPr>
          <w:rFonts w:ascii="TimesNewRomanPSMT" w:hAnsi="TimesNewRomanPSMT"/>
        </w:rPr>
        <w:t>Theorem</w:t>
      </w:r>
      <w:proofErr w:type="spellEnd"/>
      <w:r>
        <w:rPr>
          <w:rFonts w:ascii="TimesNewRomanPSMT" w:hAnsi="TimesNewRomanPSMT"/>
        </w:rPr>
        <w:t xml:space="preserve">, Tilgængelig ved: </w:t>
      </w:r>
    </w:p>
    <w:p w14:paraId="0419404C" w14:textId="77777777" w:rsidR="0000047A" w:rsidRDefault="0000047A" w:rsidP="0000047A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https://en.wikipedia.org/wiki/Hairy_ball_theorem </w:t>
      </w:r>
    </w:p>
    <w:p w14:paraId="2084AD3B" w14:textId="7012C92A" w:rsidR="0000047A" w:rsidRPr="000D6717" w:rsidRDefault="0000047A" w:rsidP="000D6717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Heiselberg, B. Dam, et al, Plasmafysik og fusionsenergi – fremtidens energikilde, 2015, </w:t>
      </w:r>
      <w:r w:rsidRPr="000D6717">
        <w:rPr>
          <w:rFonts w:ascii="TimesNewRomanPSMT" w:hAnsi="TimesNewRomanPSMT"/>
        </w:rPr>
        <w:t xml:space="preserve">s.14-22, s. 26-40, s. 46-48 </w:t>
      </w:r>
    </w:p>
    <w:p w14:paraId="1CF66689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proofErr w:type="spellStart"/>
      <w:r>
        <w:rPr>
          <w:rFonts w:ascii="TimesNewRomanPSMT" w:hAnsi="TimesNewRomanPSMT"/>
        </w:rPr>
        <w:t>Homeomorphism</w:t>
      </w:r>
      <w:proofErr w:type="spellEnd"/>
      <w:r>
        <w:rPr>
          <w:rFonts w:ascii="TimesNewRomanPSMT" w:hAnsi="TimesNewRomanPSMT"/>
        </w:rPr>
        <w:t xml:space="preserve">, Tilgængelig ved: https://en.wikipedia.org/wiki/Homeomorphism </w:t>
      </w:r>
    </w:p>
    <w:p w14:paraId="0A381EA5" w14:textId="77777777" w:rsidR="00EF0DCD" w:rsidRDefault="0000047A" w:rsidP="00EF0DCD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>Jensen, V.O, DTU – Fusionsplasmafysik</w:t>
      </w:r>
    </w:p>
    <w:p w14:paraId="59478065" w14:textId="33442296" w:rsidR="00EF0DCD" w:rsidRPr="00EF0DCD" w:rsidRDefault="00EF0DCD" w:rsidP="00EF0DCD">
      <w:pPr>
        <w:pStyle w:val="NormalWeb"/>
        <w:ind w:left="720"/>
        <w:rPr>
          <w:rFonts w:ascii="TimesNewRomanPSMT" w:hAnsi="TimesNewRomanPSMT"/>
        </w:rPr>
      </w:pPr>
      <w:hyperlink r:id="rId15" w:history="1">
        <w:r w:rsidRPr="001B03C5">
          <w:rPr>
            <w:rStyle w:val="Hyperlink"/>
            <w:rFonts w:ascii="TimesNewRomanPSMT" w:hAnsi="TimesNewRomanPSMT"/>
          </w:rPr>
          <w:t>https://backend.orbit.dtu.dk/ws/portalfiles/portal/56583791/ris_m_2743.pdf</w:t>
        </w:r>
      </w:hyperlink>
    </w:p>
    <w:p w14:paraId="1D852E40" w14:textId="79836698" w:rsidR="0000047A" w:rsidRPr="00EF0DCD" w:rsidRDefault="0000047A" w:rsidP="00EF0DCD">
      <w:pPr>
        <w:pStyle w:val="NormalWeb"/>
        <w:numPr>
          <w:ilvl w:val="0"/>
          <w:numId w:val="2"/>
        </w:numPr>
        <w:rPr>
          <w:rFonts w:ascii="TimesNewRomanPSMT" w:hAnsi="TimesNewRomanPSMT"/>
          <w:lang w:val="en-US"/>
        </w:rPr>
      </w:pPr>
      <w:r w:rsidRPr="0000047A">
        <w:rPr>
          <w:rFonts w:ascii="TimesNewRomanPSMT" w:hAnsi="TimesNewRomanPSMT"/>
          <w:lang w:val="en-US"/>
        </w:rPr>
        <w:t xml:space="preserve">Josevich, Piotr, et al, The Poincaré-Hopf Index Theorem and the Fundamental Theorem of </w:t>
      </w:r>
    </w:p>
    <w:p w14:paraId="162EB571" w14:textId="1BB909FC" w:rsidR="0000047A" w:rsidRPr="000D6717" w:rsidRDefault="00EF0DCD" w:rsidP="00EF0DCD">
      <w:pPr>
        <w:pStyle w:val="NormalWeb"/>
        <w:rPr>
          <w:rFonts w:ascii="TimesNewRomanPSMT" w:hAnsi="TimesNewRomanPSMT"/>
          <w:lang w:val="en-US"/>
        </w:rPr>
      </w:pPr>
      <w:hyperlink r:id="rId16" w:history="1">
        <w:r w:rsidRPr="001B03C5">
          <w:rPr>
            <w:rStyle w:val="Hyperlink"/>
            <w:rFonts w:ascii="TimesNewRomanPSMT" w:hAnsi="TimesNewRomanPSMT"/>
            <w:lang w:val="en-US"/>
          </w:rPr>
          <w:t>https://www2.math.upenn.edu/~pjmcgrat/research/pumj.pdf</w:t>
        </w:r>
      </w:hyperlink>
    </w:p>
    <w:p w14:paraId="13A9D0E1" w14:textId="30E0AEAB" w:rsidR="0000047A" w:rsidRPr="00EF0DCD" w:rsidRDefault="0000047A" w:rsidP="00EF0DCD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Fusionsenergi.dk: </w:t>
      </w:r>
      <w:hyperlink r:id="rId17" w:history="1">
        <w:r w:rsidRPr="001B03C5">
          <w:rPr>
            <w:rStyle w:val="Hyperlink"/>
            <w:rFonts w:ascii="TimesNewRomanPSMT" w:hAnsi="TimesNewRomanPSMT"/>
          </w:rPr>
          <w:t>https://www.fusionsenergi.dk/</w:t>
        </w:r>
      </w:hyperlink>
    </w:p>
    <w:p w14:paraId="2D8513B3" w14:textId="00620D55" w:rsidR="00EF0DCD" w:rsidRPr="00EF0DCD" w:rsidRDefault="0000047A" w:rsidP="00EF0DCD">
      <w:pPr>
        <w:pStyle w:val="NormalWeb"/>
        <w:numPr>
          <w:ilvl w:val="0"/>
          <w:numId w:val="2"/>
        </w:numPr>
        <w:rPr>
          <w:rFonts w:ascii="TimesNewRomanPSMT" w:hAnsi="TimesNewRomanPSMT"/>
          <w:lang w:val="en-US"/>
        </w:rPr>
      </w:pPr>
      <w:proofErr w:type="spellStart"/>
      <w:r w:rsidRPr="00EF0DCD">
        <w:rPr>
          <w:rFonts w:ascii="TimesNewRomanPSMT" w:hAnsi="TimesNewRomanPSMT"/>
          <w:lang w:val="en-US"/>
        </w:rPr>
        <w:t>Pocare</w:t>
      </w:r>
      <w:proofErr w:type="spellEnd"/>
      <w:r w:rsidRPr="00EF0DCD">
        <w:rPr>
          <w:rFonts w:ascii="TimesNewRomanPSMT" w:hAnsi="TimesNewRomanPSMT"/>
          <w:lang w:val="en-US"/>
        </w:rPr>
        <w:t xml:space="preserve">́-Hopf Theorem, </w:t>
      </w:r>
      <w:hyperlink r:id="rId18" w:history="1">
        <w:r w:rsidR="00EF0DCD" w:rsidRPr="001B03C5">
          <w:rPr>
            <w:rStyle w:val="Hyperlink"/>
            <w:rFonts w:ascii="TimesNewRomanPSMT" w:hAnsi="TimesNewRomanPSMT"/>
            <w:lang w:val="en-US"/>
          </w:rPr>
          <w:t>https://en.wikipedia.org/wiki/Poincaré–Hopf_theorem</w:t>
        </w:r>
      </w:hyperlink>
    </w:p>
    <w:p w14:paraId="6A04B87C" w14:textId="612BE859" w:rsidR="00B4595B" w:rsidRPr="000D6717" w:rsidRDefault="0000047A" w:rsidP="000D6717">
      <w:pPr>
        <w:pStyle w:val="NormalWeb"/>
        <w:ind w:left="720"/>
        <w:rPr>
          <w:rFonts w:ascii="TimesNewRomanPSMT" w:hAnsi="TimesNewRomanPSMT"/>
          <w:lang w:val="en-US"/>
        </w:rPr>
      </w:pPr>
      <w:r w:rsidRPr="00EF0DCD">
        <w:rPr>
          <w:rFonts w:ascii="TimesNewRomanPSMT" w:hAnsi="TimesNewRomanPSMT"/>
          <w:lang w:val="en-US"/>
        </w:rPr>
        <w:t xml:space="preserve"> </w:t>
      </w:r>
    </w:p>
    <w:sectPr w:rsidR="00B4595B" w:rsidRPr="000D671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353B4"/>
    <w:multiLevelType w:val="multilevel"/>
    <w:tmpl w:val="AD0AD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138D7"/>
    <w:multiLevelType w:val="multilevel"/>
    <w:tmpl w:val="8B549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A32259"/>
    <w:multiLevelType w:val="multilevel"/>
    <w:tmpl w:val="B0DC5C4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da-DK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411045"/>
    <w:multiLevelType w:val="hybridMultilevel"/>
    <w:tmpl w:val="F2B6BDDC"/>
    <w:lvl w:ilvl="0" w:tplc="29D89DDE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20D85"/>
    <w:multiLevelType w:val="multilevel"/>
    <w:tmpl w:val="8B5496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280739"/>
    <w:multiLevelType w:val="multilevel"/>
    <w:tmpl w:val="8B549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4267135">
    <w:abstractNumId w:val="0"/>
  </w:num>
  <w:num w:numId="2" w16cid:durableId="1549801397">
    <w:abstractNumId w:val="5"/>
  </w:num>
  <w:num w:numId="3" w16cid:durableId="1087728539">
    <w:abstractNumId w:val="1"/>
  </w:num>
  <w:num w:numId="4" w16cid:durableId="1340621603">
    <w:abstractNumId w:val="4"/>
  </w:num>
  <w:num w:numId="5" w16cid:durableId="1467821396">
    <w:abstractNumId w:val="2"/>
  </w:num>
  <w:num w:numId="6" w16cid:durableId="1121413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05"/>
    <w:rsid w:val="0000047A"/>
    <w:rsid w:val="000D6717"/>
    <w:rsid w:val="001F09C2"/>
    <w:rsid w:val="002D3B05"/>
    <w:rsid w:val="002E541D"/>
    <w:rsid w:val="003627FC"/>
    <w:rsid w:val="004651E8"/>
    <w:rsid w:val="005F142D"/>
    <w:rsid w:val="006A7464"/>
    <w:rsid w:val="009111FF"/>
    <w:rsid w:val="0092042F"/>
    <w:rsid w:val="00985AD7"/>
    <w:rsid w:val="00A205D8"/>
    <w:rsid w:val="00B02859"/>
    <w:rsid w:val="00B4595B"/>
    <w:rsid w:val="00BC4179"/>
    <w:rsid w:val="00CB0675"/>
    <w:rsid w:val="00D016BB"/>
    <w:rsid w:val="00D8322C"/>
    <w:rsid w:val="00E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6CA5BD"/>
  <w15:chartTrackingRefBased/>
  <w15:docId w15:val="{9062933E-9543-074F-AE01-6D0A23380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D3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3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2D3B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3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3B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3B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3B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3B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3B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3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3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3B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3B05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3B05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3B05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3B05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3B05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3B0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2D3B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D3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D3B0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D3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2D3B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2D3B05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2D3B05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2D3B05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2D3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D3B05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2D3B0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B4595B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4595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459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BesgtLink">
    <w:name w:val="FollowedHyperlink"/>
    <w:basedOn w:val="Standardskrifttypeiafsnit"/>
    <w:uiPriority w:val="99"/>
    <w:semiHidden/>
    <w:unhideWhenUsed/>
    <w:rsid w:val="0000047A"/>
    <w:rPr>
      <w:color w:val="96607D" w:themeColor="followedHyperlink"/>
      <w:u w:val="single"/>
    </w:rPr>
  </w:style>
  <w:style w:type="paragraph" w:customStyle="1" w:styleId="Type-2">
    <w:name w:val="Type-2"/>
    <w:basedOn w:val="Undertitel"/>
    <w:qFormat/>
    <w:rsid w:val="006A7464"/>
    <w:pPr>
      <w:shd w:val="clear" w:color="auto" w:fill="FFC000"/>
    </w:pPr>
  </w:style>
  <w:style w:type="character" w:styleId="Pladsholdertekst">
    <w:name w:val="Placeholder Text"/>
    <w:basedOn w:val="Standardskrifttypeiafsnit"/>
    <w:uiPriority w:val="99"/>
    <w:semiHidden/>
    <w:rsid w:val="006A746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6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9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3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1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fse.studenttheses.ub.rug.nl/10368/3/A9R96E6.pdf" TargetMode="External"/><Relationship Id="rId18" Type="http://schemas.openxmlformats.org/officeDocument/2006/relationships/hyperlink" Target="https://en.wikipedia.org/wiki/Poincare&#769;&#8211;Hopf_theore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lppfusion.com/technology/brief-history-of-fusion-power/" TargetMode="External"/><Relationship Id="rId17" Type="http://schemas.openxmlformats.org/officeDocument/2006/relationships/hyperlink" Target="https://www.fusionsenergi.d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2.math.upenn.edu/~pjmcgrat/research/pumj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paulbourke.net/geometry/circlesphere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backend.orbit.dtu.dk/ws/portalfiles/portal/56583791/ris_m_2743.pdf" TargetMode="External"/><Relationship Id="rId10" Type="http://schemas.openxmlformats.org/officeDocument/2006/relationships/hyperlink" Target="https://www.iter.org/sci/iterandbeyon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hmn.wiki/da/Euler_characteristic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1054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5</cp:revision>
  <dcterms:created xsi:type="dcterms:W3CDTF">2025-03-11T10:47:00Z</dcterms:created>
  <dcterms:modified xsi:type="dcterms:W3CDTF">2025-10-26T11:33:00Z</dcterms:modified>
</cp:coreProperties>
</file>